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F0" w:rsidRPr="00307719" w:rsidRDefault="00E97C4B" w:rsidP="00307719">
      <w:pPr>
        <w:autoSpaceDE/>
        <w:autoSpaceDN/>
        <w:snapToGrid w:val="0"/>
        <w:spacing w:line="240" w:lineRule="atLeast"/>
        <w:ind w:right="34"/>
        <w:jc w:val="center"/>
        <w:rPr>
          <w:rFonts w:ascii="Times New Roman" w:eastAsia="標楷體" w:hAnsi="Times New Roman" w:cs="Times New Roman"/>
          <w:bCs/>
          <w:kern w:val="2"/>
          <w:sz w:val="32"/>
          <w:szCs w:val="32"/>
          <w:lang w:eastAsia="zh-TW"/>
        </w:rPr>
      </w:pPr>
      <w:bookmarkStart w:id="0" w:name="11國立高雄大學運動競技學系運動特優學生彈性修讀課程實施要點(運技系新訂)"/>
      <w:bookmarkEnd w:id="0"/>
      <w:r w:rsidRPr="00307719">
        <w:rPr>
          <w:rFonts w:ascii="Times New Roman" w:eastAsia="標楷體" w:hAnsi="Times New Roman" w:cs="Times New Roman"/>
          <w:bCs/>
          <w:kern w:val="2"/>
          <w:sz w:val="32"/>
          <w:szCs w:val="32"/>
          <w:lang w:eastAsia="zh-TW"/>
        </w:rPr>
        <w:t>國立高雄大學運動競技學系運動特優學生彈性修讀課程實施要點</w:t>
      </w:r>
    </w:p>
    <w:p w:rsidR="00307719" w:rsidRDefault="00307719" w:rsidP="00307719">
      <w:pPr>
        <w:autoSpaceDE/>
        <w:autoSpaceDN/>
        <w:snapToGrid w:val="0"/>
        <w:ind w:right="34"/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</w:pPr>
    </w:p>
    <w:p w:rsidR="003A12F0" w:rsidRPr="00307719" w:rsidRDefault="00E97C4B" w:rsidP="00307719">
      <w:pPr>
        <w:autoSpaceDE/>
        <w:autoSpaceDN/>
        <w:snapToGrid w:val="0"/>
        <w:ind w:right="34"/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</w:pP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106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年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12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月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5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日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106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學年度第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2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次教務會議，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106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年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12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月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12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日第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48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次校務基金管理委員會議通過，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106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年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 xml:space="preserve">12 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月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20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日核</w:t>
      </w:r>
      <w:r w:rsidRPr="00307719">
        <w:rPr>
          <w:rFonts w:ascii="Times New Roman" w:eastAsia="標楷體" w:hAnsi="Times New Roman" w:cs="Times New Roman"/>
          <w:kern w:val="2"/>
          <w:sz w:val="20"/>
          <w:szCs w:val="24"/>
          <w:lang w:eastAsia="zh-TW"/>
        </w:rPr>
        <w:t>定</w:t>
      </w:r>
    </w:p>
    <w:p w:rsidR="003A12F0" w:rsidRDefault="003A12F0">
      <w:pPr>
        <w:pStyle w:val="a3"/>
        <w:spacing w:before="17"/>
        <w:ind w:left="0"/>
        <w:rPr>
          <w:sz w:val="25"/>
          <w:lang w:eastAsia="zh-TW"/>
        </w:rPr>
      </w:pP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一、國立高雄大學</w:t>
      </w:r>
      <w:r w:rsidRPr="00307719">
        <w:rPr>
          <w:rFonts w:ascii="Times New Roman" w:eastAsia="標楷體" w:hAnsi="Times New Roman" w:cs="Times New Roman"/>
          <w:lang w:eastAsia="zh-TW"/>
        </w:rPr>
        <w:t>（</w:t>
      </w:r>
      <w:r w:rsidRPr="00307719">
        <w:rPr>
          <w:rFonts w:ascii="Times New Roman" w:eastAsia="標楷體" w:hAnsi="Times New Roman" w:cs="Times New Roman"/>
          <w:spacing w:val="-2"/>
          <w:lang w:eastAsia="zh-TW"/>
        </w:rPr>
        <w:t>以下簡稱本校</w:t>
      </w:r>
      <w:r w:rsidRPr="00307719">
        <w:rPr>
          <w:rFonts w:ascii="Times New Roman" w:eastAsia="標楷體" w:hAnsi="Times New Roman" w:cs="Times New Roman"/>
          <w:spacing w:val="-17"/>
          <w:lang w:eastAsia="zh-TW"/>
        </w:rPr>
        <w:t>）</w:t>
      </w:r>
      <w:r w:rsidRPr="00307719">
        <w:rPr>
          <w:rFonts w:ascii="Times New Roman" w:eastAsia="標楷體" w:hAnsi="Times New Roman" w:cs="Times New Roman"/>
          <w:spacing w:val="-3"/>
          <w:lang w:eastAsia="zh-TW"/>
        </w:rPr>
        <w:t>運動競</w:t>
      </w:r>
      <w:bookmarkStart w:id="1" w:name="_GoBack"/>
      <w:bookmarkEnd w:id="1"/>
      <w:r w:rsidRPr="00307719">
        <w:rPr>
          <w:rFonts w:ascii="Times New Roman" w:eastAsia="標楷體" w:hAnsi="Times New Roman" w:cs="Times New Roman"/>
          <w:spacing w:val="-3"/>
          <w:lang w:eastAsia="zh-TW"/>
        </w:rPr>
        <w:t>技學系</w:t>
      </w:r>
      <w:r w:rsidRPr="00307719">
        <w:rPr>
          <w:rFonts w:ascii="Times New Roman" w:eastAsia="標楷體" w:hAnsi="Times New Roman" w:cs="Times New Roman"/>
          <w:lang w:eastAsia="zh-TW"/>
        </w:rPr>
        <w:t>（以下簡稱本系</w:t>
      </w:r>
      <w:r w:rsidRPr="00307719">
        <w:rPr>
          <w:rFonts w:ascii="Times New Roman" w:eastAsia="標楷體" w:hAnsi="Times New Roman" w:cs="Times New Roman"/>
          <w:spacing w:val="-128"/>
          <w:lang w:eastAsia="zh-TW"/>
        </w:rPr>
        <w:t>）</w:t>
      </w:r>
      <w:r w:rsidRPr="00307719">
        <w:rPr>
          <w:rFonts w:ascii="Times New Roman" w:eastAsia="標楷體" w:hAnsi="Times New Roman" w:cs="Times New Roman"/>
          <w:spacing w:val="-3"/>
          <w:lang w:eastAsia="zh-TW"/>
        </w:rPr>
        <w:t>，為培育國際競賽頂尖人才，使其兼顧學業、訓練與比賽，並落實教育功能與提升運動競技水準，特訂定國立高雄大學運動競技學系運動特優學生彈性課程實施要點（以下簡稱本要點</w:t>
      </w:r>
      <w:r w:rsidRPr="00307719">
        <w:rPr>
          <w:rFonts w:ascii="Times New Roman" w:eastAsia="標楷體" w:hAnsi="Times New Roman" w:cs="Times New Roman"/>
          <w:spacing w:val="-120"/>
          <w:lang w:eastAsia="zh-TW"/>
        </w:rPr>
        <w:t>）</w:t>
      </w:r>
      <w:r w:rsidRPr="00307719">
        <w:rPr>
          <w:rFonts w:ascii="Times New Roman" w:eastAsia="標楷體" w:hAnsi="Times New Roman" w:cs="Times New Roman"/>
          <w:lang w:eastAsia="zh-TW"/>
        </w:rPr>
        <w:t>。</w:t>
      </w: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二、本要點所稱運動特優學生之資格認定與分級如下：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（一）第一級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參加奧運正式競賽項目獲前十六名者</w:t>
      </w:r>
    </w:p>
    <w:p w:rsid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參加奧運正式競賽項目之世界錦標賽獲前六名者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參加亞運正式競賽項目獲前八名者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參加世界大學運動會或錦標賽獲前三名者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參加亞運正式競賽項目之亞洲錦標賽獲前三名者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（二）第二級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參加奧運正式競賽項目者參加亞運正式競賽項目者</w:t>
      </w:r>
    </w:p>
    <w:p w:rsid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參加奧運正式競賽項目之世界錦標賽獲前八名者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參加世界大學運動會或錦標賽獲前八名者</w:t>
      </w:r>
    </w:p>
    <w:p w:rsid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參加亞運正式競賽項目之亞洲錦標賽獲前六名者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參加大專運動會、聯賽、錦標賽獲最優級第一名者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（三）第三級</w:t>
      </w:r>
    </w:p>
    <w:p w:rsid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參加大專運動會、聯賽、錦標賽獲最優級第二、三名者</w:t>
      </w:r>
    </w:p>
    <w:p w:rsid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參加全國運動會獲團體項目前二名、個人項目前四名者</w:t>
      </w:r>
    </w:p>
    <w:p w:rsid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參加國際單項運動總會主辦之世界、亞洲青年錦標賽者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參加全國中等學校運動會或同等級比賽獲前二名者</w:t>
      </w:r>
    </w:p>
    <w:p w:rsidR="003A12F0" w:rsidRPr="00307719" w:rsidRDefault="00E97C4B" w:rsidP="007F08C0">
      <w:pPr>
        <w:pStyle w:val="a3"/>
        <w:spacing w:line="360" w:lineRule="auto"/>
        <w:ind w:leftChars="530" w:left="1166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參加國際性運動會、職業賽、公開賽及國際單項運動總會舉辦之正式比賽表現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（成績）優異且深具發展潛力者（教練評估報告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）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。</w:t>
      </w: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三、凡符合本要點第二點資格之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一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者，因參加國內外之訓練及比賽，在學期中需請假超過三分之一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以上致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課程無法順利修讀者，得依規定程序提出申請，其程序須先經由校內該隊教練同意推薦，提報本系進行初審後，提請運動特優學生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彈性修讀課程審核小組審定通過後實施。</w:t>
      </w: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四、本校運動特優學生彈性修讀課程審核小組置委員五人。教務長為召集人，體育室主任、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運動競技學系主任為當然委員，其餘委員由校長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遴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聘之。</w:t>
      </w: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lastRenderedPageBreak/>
        <w:t>五、經本校核准之運動特優學生其彈性修讀課程實施方式如下：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（一）學業成績依本校學則之相關規定辦理。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（二）修習科目及授課教師之聘請由本系進行整體規劃，並提報教務處核備，其鐘點數得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不計入任課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教師該學期規定超支鐘點時數內。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（三）除正常授課時間外，得於晚間、例假日及寒暑假開課或補課，或運用遠距教學方式授課。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四）經審核認定為運動特優學生，其參加國內外訓練及比賽，得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採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認為該學期相關之運動專長訓練學分。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（五）經教練認定，運動特優學生參加國內外訓練及比賽成果，得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採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計為該學期相關之運動專長訓練成績。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（六）每學期選課之最低學分數依本校學則之相關規定辦理。</w:t>
      </w: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六、凡經審核通過之運動特優學生，其培訓計畫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併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同課程修讀計畫專案報請教育部體育署、社會企業等相關單位補助課程修讀所需經費。如未獲相關單位全額補助，得由本系接受捐贈相關贊助專款項下支應，就下列標準予補助分級：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（一）第一級運動特優學生：全額補助。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（二）第二級運動特優學生：半額補助。</w:t>
      </w:r>
    </w:p>
    <w:p w:rsidR="003A12F0" w:rsidRPr="00307719" w:rsidRDefault="00E97C4B" w:rsidP="007F08C0">
      <w:pPr>
        <w:pStyle w:val="a3"/>
        <w:spacing w:line="360" w:lineRule="auto"/>
        <w:ind w:leftChars="200" w:left="1142" w:hangingChars="300" w:hanging="702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（三）第三級運動特優學生：不予補助（自費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）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。</w:t>
      </w:r>
    </w:p>
    <w:p w:rsidR="003A12F0" w:rsidRPr="00307719" w:rsidRDefault="00E97C4B" w:rsidP="007F08C0">
      <w:pPr>
        <w:pStyle w:val="a3"/>
        <w:spacing w:line="360" w:lineRule="auto"/>
        <w:ind w:leftChars="200" w:left="440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第二級及第三級學生若與「第一級」學生修習相同任課教師開設之課程，並於同時間進行與完成，則該課程之鐘點費免繳。</w:t>
      </w:r>
    </w:p>
    <w:p w:rsidR="003A12F0" w:rsidRPr="00307719" w:rsidRDefault="00E97C4B" w:rsidP="007F08C0">
      <w:pPr>
        <w:pStyle w:val="a3"/>
        <w:spacing w:line="360" w:lineRule="auto"/>
        <w:ind w:leftChars="200" w:left="440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若非屬有「第一級」學生開設之課程，所修習相同任課教師開設之課程，並於同時間進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行與完成，則該課程之鐘點費，由全體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參與彈修學生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依第二級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（二分之一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）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及第三級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（自費）之比例與人數分擔。</w:t>
      </w: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七、獲彈性修讀課程經費補助之運動特優學生，如因訓練怠惰、拒絕參賽、行為舉止</w:t>
      </w:r>
      <w:proofErr w:type="gramStart"/>
      <w:r w:rsidRPr="00307719">
        <w:rPr>
          <w:rFonts w:ascii="Times New Roman" w:eastAsia="標楷體" w:hAnsi="Times New Roman" w:cs="Times New Roman"/>
          <w:spacing w:val="-6"/>
          <w:lang w:eastAsia="zh-TW"/>
        </w:rPr>
        <w:t>不</w:t>
      </w:r>
      <w:proofErr w:type="gramEnd"/>
      <w:r w:rsidRPr="00307719">
        <w:rPr>
          <w:rFonts w:ascii="Times New Roman" w:eastAsia="標楷體" w:hAnsi="Times New Roman" w:cs="Times New Roman"/>
          <w:spacing w:val="-6"/>
          <w:lang w:eastAsia="zh-TW"/>
        </w:rPr>
        <w:t>檢或未具本校學籍等情事者，推薦教練得專案提報審核小組，經查證屬實</w:t>
      </w:r>
      <w:r w:rsidRPr="00307719">
        <w:rPr>
          <w:rFonts w:ascii="Times New Roman" w:eastAsia="標楷體" w:hAnsi="Times New Roman" w:cs="Times New Roman"/>
          <w:spacing w:val="-6"/>
          <w:lang w:eastAsia="zh-TW"/>
        </w:rPr>
        <w:t>者得取消彈性修讀資格，並於次學期開始執行。</w:t>
      </w:r>
    </w:p>
    <w:p w:rsidR="003A12F0" w:rsidRPr="00307719" w:rsidRDefault="00E97C4B" w:rsidP="007F08C0">
      <w:pPr>
        <w:pStyle w:val="a3"/>
        <w:spacing w:line="360" w:lineRule="auto"/>
        <w:ind w:left="573" w:right="155" w:hanging="461"/>
        <w:jc w:val="both"/>
        <w:rPr>
          <w:rFonts w:ascii="Times New Roman" w:eastAsia="標楷體" w:hAnsi="Times New Roman" w:cs="Times New Roman"/>
          <w:spacing w:val="-6"/>
          <w:lang w:eastAsia="zh-TW"/>
        </w:rPr>
      </w:pPr>
      <w:r w:rsidRPr="00307719">
        <w:rPr>
          <w:rFonts w:ascii="Times New Roman" w:eastAsia="標楷體" w:hAnsi="Times New Roman" w:cs="Times New Roman"/>
          <w:spacing w:val="-6"/>
          <w:lang w:eastAsia="zh-TW"/>
        </w:rPr>
        <w:t>八、本要點經教務會議及校務基金管理委員會通過，陳請校長核定後施行，修正時亦同。</w:t>
      </w:r>
    </w:p>
    <w:sectPr w:rsidR="003A12F0" w:rsidRPr="00307719">
      <w:pgSz w:w="11910" w:h="16840"/>
      <w:pgMar w:top="12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0"/>
    <w:rsid w:val="00307719"/>
    <w:rsid w:val="003A12F0"/>
    <w:rsid w:val="007F08C0"/>
    <w:rsid w:val="00E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CFA3"/>
  <w15:docId w15:val="{4A70C8B0-142C-4BE8-B05A-0F10807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01國立高雄大學獎勵補助舉辦國際學術研討會作業要點(國際處).pdf</dc:title>
  <dc:creator>User</dc:creator>
  <cp:lastModifiedBy>superuser</cp:lastModifiedBy>
  <cp:revision>2</cp:revision>
  <dcterms:created xsi:type="dcterms:W3CDTF">2018-06-25T03:24:00Z</dcterms:created>
  <dcterms:modified xsi:type="dcterms:W3CDTF">2018-06-25T03:24:00Z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2018-06-25T00:00:00Z</vt:filetime>
  </property>
</Properties>
</file>